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FF" w:rsidRDefault="00D72185" w:rsidP="009B7ECC">
      <w:pPr>
        <w:pStyle w:val="Style2"/>
        <w:framePr w:w="10094" w:h="1381" w:hRule="exact" w:wrap="none" w:vAnchor="page" w:hAnchor="page" w:x="1246" w:y="1"/>
        <w:shd w:val="clear" w:color="auto" w:fill="auto"/>
        <w:ind w:left="380"/>
        <w:jc w:val="center"/>
      </w:pPr>
      <w:bookmarkStart w:id="0" w:name="bookmark0"/>
      <w:r>
        <w:rPr>
          <w:rStyle w:val="CharStyle4"/>
          <w:b/>
          <w:bCs/>
          <w:lang w:val="es-ES"/>
        </w:rPr>
        <w:t>Plan preventivo frente al COVID-19 para empleados del área fiscal de</w:t>
      </w:r>
      <w:bookmarkStart w:id="1" w:name="bookmark1"/>
      <w:bookmarkEnd w:id="0"/>
      <w:r w:rsidR="009B7ECC">
        <w:t xml:space="preserve"> </w:t>
      </w:r>
      <w:proofErr w:type="spellStart"/>
      <w:r>
        <w:rPr>
          <w:rStyle w:val="CharStyle4"/>
          <w:b/>
          <w:bCs/>
          <w:lang w:val="es-ES"/>
        </w:rPr>
        <w:t>Lifeworks</w:t>
      </w:r>
      <w:proofErr w:type="spellEnd"/>
      <w:r>
        <w:rPr>
          <w:rStyle w:val="CharStyle4"/>
          <w:b/>
          <w:bCs/>
          <w:lang w:val="es-ES"/>
        </w:rPr>
        <w:t xml:space="preserve"> </w:t>
      </w:r>
      <w:proofErr w:type="spellStart"/>
      <w:r>
        <w:rPr>
          <w:rStyle w:val="CharStyle4"/>
          <w:b/>
          <w:bCs/>
          <w:lang w:val="es-ES"/>
        </w:rPr>
        <w:t>Services</w:t>
      </w:r>
      <w:bookmarkEnd w:id="1"/>
      <w:proofErr w:type="spellEnd"/>
    </w:p>
    <w:p w:rsidR="003576FF" w:rsidRDefault="00D72185" w:rsidP="009B7ECC">
      <w:pPr>
        <w:pStyle w:val="Style5"/>
        <w:framePr w:w="10094" w:h="13546" w:hRule="exact" w:wrap="none" w:vAnchor="page" w:hAnchor="page" w:x="1051" w:y="1126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43"/>
      </w:pPr>
      <w:bookmarkStart w:id="2" w:name="bookmark2"/>
      <w:r>
        <w:rPr>
          <w:rStyle w:val="CharStyle7"/>
          <w:b/>
          <w:bCs/>
          <w:lang w:val="es-ES"/>
        </w:rPr>
        <w:t>Controles de higiene y fuentes</w:t>
      </w:r>
      <w:bookmarkEnd w:id="2"/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760"/>
      </w:pPr>
      <w:r>
        <w:rPr>
          <w:lang w:val="es-ES"/>
        </w:rPr>
        <w:t>Las rutinas de lavado de manos deberán llevarse a cabo como mínimo al inicio y al final de los turnos de trabajo, después de haber estado en un lugar público, antes y después de comer, después de usar el baño, o después de sonarse la nariz, toser o estornudar.</w:t>
      </w:r>
      <w:hyperlink r:id="rId5" w:history="1">
        <w:r>
          <w:rPr>
            <w:lang w:val="es-ES"/>
          </w:rPr>
          <w:t xml:space="preserve"> </w:t>
        </w:r>
        <w:r>
          <w:rPr>
            <w:rStyle w:val="CharStyle11"/>
            <w:lang w:val="es-ES"/>
          </w:rPr>
          <w:t>https://www.health.state.mn.us/people/cyc/cycbgeneng.pdf</w:t>
        </w:r>
      </w:hyperlink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760"/>
      </w:pPr>
      <w:r>
        <w:rPr>
          <w:lang w:val="es-ES"/>
        </w:rPr>
        <w:t>Evite tocarse los ojos, la nariz y la boca con las manos sin lavar.</w:t>
      </w:r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760"/>
      </w:pPr>
      <w:r>
        <w:rPr>
          <w:lang w:val="es-ES"/>
        </w:rPr>
        <w:t>Los participantes y empleados deben lavarse las manos con agua y jabón durante 20 segundos como mínimo. Si no hay agua y jabón disponibles, use un desinfectante de manos que contenga al menos un 60 % de alcohol</w:t>
      </w:r>
      <w:hyperlink r:id="rId6" w:history="1">
        <w:r>
          <w:rPr>
            <w:lang w:val="es-ES"/>
          </w:rPr>
          <w:t>.</w:t>
        </w:r>
      </w:hyperlink>
      <w:r>
        <w:rPr>
          <w:lang w:val="es-ES"/>
        </w:rPr>
        <w:t xml:space="preserve"> </w:t>
      </w:r>
      <w:hyperlink r:id="rId7" w:history="1">
        <w:r w:rsidRPr="009B7ECC">
          <w:rPr>
            <w:rStyle w:val="CharStyle10"/>
            <w:u w:val="single"/>
            <w:lang w:val="es-ES"/>
          </w:rPr>
          <w:t>https://www.health.state.mn.us/people/handhygiene/how/howto.pdf</w:t>
        </w:r>
      </w:hyperlink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  <w:ind w:left="760"/>
      </w:pPr>
      <w:r>
        <w:rPr>
          <w:lang w:val="es-ES"/>
        </w:rPr>
        <w:t>Los gerentes de apoyo deben asegurarse de que las instalaciones para el lavado de manos y/o el desinfectante de manos estén a disposición y abastecidos adecuadamente.</w:t>
      </w:r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88" w:lineRule="exact"/>
        <w:ind w:left="760"/>
      </w:pPr>
      <w:r>
        <w:rPr>
          <w:lang w:val="es-ES"/>
        </w:rPr>
        <w:t>Se recomienda el uso de toallas de papel para secarse las manos y se debe garantizar la presencia de un cesto de basura junto a la puerta del baño para poder desechar fácilmente las toallas de papel al utilizar la puerta.</w:t>
      </w:r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434" w:line="288" w:lineRule="exact"/>
        <w:ind w:left="760"/>
      </w:pPr>
      <w:r>
        <w:rPr>
          <w:lang w:val="es-ES"/>
        </w:rPr>
        <w:t>Según la</w:t>
      </w:r>
      <w:hyperlink r:id="rId8" w:history="1">
        <w:r>
          <w:rPr>
            <w:lang w:val="es-ES"/>
          </w:rPr>
          <w:t xml:space="preserve"> </w:t>
        </w:r>
        <w:r>
          <w:rPr>
            <w:rStyle w:val="CharStyle11"/>
            <w:lang w:val="es-ES"/>
          </w:rPr>
          <w:t>Orden Ejecutiva 20-81</w:t>
        </w:r>
      </w:hyperlink>
      <w:r>
        <w:rPr>
          <w:lang w:val="es-ES"/>
        </w:rPr>
        <w:t xml:space="preserve"> del gobernador, las personas de Minnesota deben usar una mascarilla en todos los comercios y espacios públicos cerrados, a menos que estén solos. Esto incluye a los trabajadores que ingresan a una casa o unidad habitacional asignada a una persona por motivos laborales. Esta orden ha generado muchos interrogantes, el siguiente enlace ofrece respuestas a las preguntas más frecuentes: </w:t>
      </w:r>
      <w:hyperlink r:id="rId9" w:history="1">
        <w:r>
          <w:rPr>
            <w:rStyle w:val="CharStyle11"/>
            <w:lang w:val="es-ES"/>
          </w:rPr>
          <w:t>https://www.health.state.mn.us/diseases/coronavirus/facecoverfaq.html</w:t>
        </w:r>
      </w:hyperlink>
    </w:p>
    <w:p w:rsidR="003576FF" w:rsidRDefault="00D72185" w:rsidP="009B7ECC">
      <w:pPr>
        <w:pStyle w:val="Style5"/>
        <w:framePr w:w="10094" w:h="13546" w:hRule="exact" w:wrap="none" w:vAnchor="page" w:hAnchor="page" w:x="1051" w:y="1126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46"/>
      </w:pPr>
      <w:bookmarkStart w:id="3" w:name="bookmark3"/>
      <w:r>
        <w:rPr>
          <w:rStyle w:val="CharStyle7"/>
          <w:b/>
          <w:bCs/>
          <w:lang w:val="es-ES"/>
        </w:rPr>
        <w:t>Limpieza y desinfección</w:t>
      </w:r>
      <w:bookmarkEnd w:id="3"/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88" w:lineRule="exact"/>
        <w:ind w:left="760"/>
      </w:pPr>
      <w:r>
        <w:rPr>
          <w:lang w:val="es-ES"/>
        </w:rPr>
        <w:t>Debe seguir las directrices establecidas por el Departamento de Salud de Minnesota (MDH, por sus siglas en inglés) y los Centros para el Control y la Prevención de Enfermedades (CDC, por sus siglas en inglés) para la limpieza y desinfección frecuente de su espacio, especialmente las áreas comunes.</w:t>
      </w:r>
      <w:hyperlink r:id="rId10" w:history="1">
        <w:r>
          <w:rPr>
            <w:lang w:val="es-ES"/>
          </w:rPr>
          <w:t xml:space="preserve"> </w:t>
        </w:r>
        <w:r w:rsidRPr="009B7ECC">
          <w:rPr>
            <w:rStyle w:val="CharStyle10"/>
            <w:u w:val="single"/>
            <w:lang w:val="es-ES"/>
          </w:rPr>
          <w:t>https://www.cdc.gov/coronavirus/2019-ncov/communitv/disinfecting-building-facility.html</w:t>
        </w:r>
      </w:hyperlink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434" w:line="288" w:lineRule="exact"/>
        <w:ind w:left="760"/>
      </w:pPr>
      <w:r>
        <w:rPr>
          <w:lang w:val="es-ES"/>
        </w:rPr>
        <w:t>Asegúrese de limpiar y desinfectar con regularidad las superficies de contacto frecuente, como: manijas de puertas, interruptores, barandas de escaleras, mostradores, mesas y sillas, teléfonos, teclados, y otros objetos compartidos.</w:t>
      </w:r>
    </w:p>
    <w:p w:rsidR="003576FF" w:rsidRDefault="00D72185" w:rsidP="009B7ECC">
      <w:pPr>
        <w:pStyle w:val="Style5"/>
        <w:framePr w:w="10094" w:h="13546" w:hRule="exact" w:wrap="none" w:vAnchor="page" w:hAnchor="page" w:x="1051" w:y="1126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46"/>
      </w:pPr>
      <w:bookmarkStart w:id="4" w:name="bookmark4"/>
      <w:r>
        <w:rPr>
          <w:rStyle w:val="CharStyle7"/>
          <w:b/>
          <w:bCs/>
          <w:lang w:val="es-ES"/>
        </w:rPr>
        <w:t>Llegadas y salidas</w:t>
      </w:r>
      <w:bookmarkEnd w:id="4"/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88" w:lineRule="exact"/>
        <w:ind w:left="760"/>
      </w:pPr>
      <w:r>
        <w:rPr>
          <w:lang w:val="es-ES"/>
        </w:rPr>
        <w:t>Los empleados deben realizar una autoevaluación de síntomas de COVID-19 antes de iniciar cada turno. Los empleados no deben presentarse a trabajar y deben permanecer alejados de otras personas y contactar a su proveedor de atención médica en caso de presentar cualquiera de los siguientes síntomas:</w:t>
      </w:r>
    </w:p>
    <w:p w:rsidR="003576FF" w:rsidRDefault="00D72185" w:rsidP="009B7ECC">
      <w:pPr>
        <w:pStyle w:val="Style8"/>
        <w:framePr w:w="10094" w:h="13546" w:hRule="exact" w:wrap="none" w:vAnchor="page" w:hAnchor="page" w:x="1051" w:y="1126"/>
        <w:shd w:val="clear" w:color="auto" w:fill="auto"/>
        <w:spacing w:before="0" w:line="283" w:lineRule="exact"/>
        <w:ind w:left="1120" w:right="3780" w:firstLine="0"/>
      </w:pP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Una temperatura de 100,4 °F </w:t>
      </w:r>
      <w:r w:rsidR="009B7ECC">
        <w:rPr>
          <w:lang w:val="es-ES"/>
        </w:rPr>
        <w:br/>
      </w:r>
      <w:r w:rsidR="009B7ECC">
        <w:rPr>
          <w:rStyle w:val="CharStyle13"/>
          <w:b w:val="0"/>
          <w:bCs w:val="0"/>
          <w:lang w:val="es-ES"/>
        </w:rPr>
        <w:t>o</w:t>
      </w:r>
      <w:r>
        <w:rPr>
          <w:lang w:val="es-ES"/>
        </w:rPr>
        <w:t xml:space="preserve"> </w:t>
      </w:r>
      <w:r w:rsidR="009B7ECC">
        <w:rPr>
          <w:lang w:val="es-ES"/>
        </w:rPr>
        <w:t xml:space="preserve"> </w:t>
      </w:r>
      <w:r w:rsidR="00A8776E">
        <w:rPr>
          <w:lang w:val="es-ES"/>
        </w:rPr>
        <w:t>S</w:t>
      </w:r>
      <w:r>
        <w:rPr>
          <w:lang w:val="es-ES"/>
        </w:rPr>
        <w:t xml:space="preserve">ensación de fiebre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Escalofríos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Tos repentina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Dificultad para respirar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Dolor de garganta repentino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Dolor muscular repentino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Dolor de cabeza repentino </w:t>
      </w:r>
      <w:r w:rsidR="009B7ECC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>Pérdida repentina del gusto o el olfato</w:t>
      </w:r>
    </w:p>
    <w:p w:rsidR="003576FF" w:rsidRDefault="00D72185" w:rsidP="009B7ECC">
      <w:pPr>
        <w:pStyle w:val="Style8"/>
        <w:framePr w:w="10094" w:h="13546" w:hRule="exact" w:wrap="none" w:vAnchor="page" w:hAnchor="page" w:x="1051" w:y="1126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83" w:lineRule="exact"/>
        <w:ind w:left="760"/>
      </w:pPr>
      <w:r>
        <w:rPr>
          <w:lang w:val="es-ES"/>
        </w:rPr>
        <w:t>Si el gerente de apoyo tiene una entrada o salida designada que prefiere que sea la que utilice el personal, los miembros del personal deberán utilizarla.</w:t>
      </w:r>
    </w:p>
    <w:p w:rsidR="003576FF" w:rsidRDefault="00D72185">
      <w:pPr>
        <w:pStyle w:val="Style14"/>
        <w:framePr w:wrap="none" w:vAnchor="page" w:hAnchor="page" w:x="1324" w:y="15086"/>
        <w:shd w:val="clear" w:color="auto" w:fill="auto"/>
      </w:pPr>
      <w:r>
        <w:rPr>
          <w:lang w:val="es-ES"/>
        </w:rPr>
        <w:t xml:space="preserve">Plan preventivo frente al COVID-19 para empleados del área fiscal de </w:t>
      </w: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Services</w:t>
      </w:r>
      <w:proofErr w:type="spellEnd"/>
      <w:r>
        <w:rPr>
          <w:lang w:val="es-ES"/>
        </w:rPr>
        <w:t>. Actualizado: 08/2020</w:t>
      </w:r>
    </w:p>
    <w:p w:rsidR="003576FF" w:rsidRDefault="00D72185">
      <w:pPr>
        <w:pStyle w:val="Style14"/>
        <w:framePr w:wrap="none" w:vAnchor="page" w:hAnchor="page" w:x="11049" w:y="14994"/>
        <w:shd w:val="clear" w:color="auto" w:fill="auto"/>
      </w:pPr>
      <w:r>
        <w:rPr>
          <w:lang w:val="es-ES"/>
        </w:rPr>
        <w:t>1</w:t>
      </w:r>
    </w:p>
    <w:p w:rsidR="003576FF" w:rsidRDefault="003576FF">
      <w:pPr>
        <w:rPr>
          <w:sz w:val="2"/>
          <w:szCs w:val="2"/>
        </w:rPr>
        <w:sectPr w:rsidR="003576F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76FF" w:rsidRDefault="00D72185" w:rsidP="000372DD">
      <w:pPr>
        <w:pStyle w:val="Style5"/>
        <w:framePr w:w="10114" w:h="14836" w:hRule="exact" w:wrap="none" w:vAnchor="page" w:hAnchor="page" w:x="1066" w:y="136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166"/>
      </w:pPr>
      <w:bookmarkStart w:id="5" w:name="bookmark5"/>
      <w:r>
        <w:rPr>
          <w:rStyle w:val="CharStyle7"/>
          <w:b/>
          <w:bCs/>
          <w:lang w:val="es-ES"/>
        </w:rPr>
        <w:lastRenderedPageBreak/>
        <w:t>Pruebas y políticas para los empleados con signos o síntomas de COVID-19</w:t>
      </w:r>
      <w:bookmarkEnd w:id="5"/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88" w:lineRule="exact"/>
        <w:ind w:left="760" w:hanging="360"/>
      </w:pPr>
      <w:r>
        <w:rPr>
          <w:lang w:val="es-ES"/>
        </w:rPr>
        <w:t>Los empleados deben realizar una autoevaluación de posibles síntomas de COVID-19 antes de iniciar cada turno. Los empleados no deben presentarse a trabajar y deben permanecer alejados de otras personas y contactar a su proveedor de atención médica en caso de presentar cualquiera de los siguientes síntomas:</w:t>
      </w:r>
    </w:p>
    <w:p w:rsidR="003576FF" w:rsidRDefault="00D72185" w:rsidP="000372DD">
      <w:pPr>
        <w:pStyle w:val="Style8"/>
        <w:framePr w:w="10114" w:h="14836" w:hRule="exact" w:wrap="none" w:vAnchor="page" w:hAnchor="page" w:x="1066" w:y="136"/>
        <w:shd w:val="clear" w:color="auto" w:fill="auto"/>
        <w:spacing w:before="0" w:line="288" w:lineRule="exact"/>
        <w:ind w:left="1120" w:right="3800" w:firstLine="0"/>
      </w:pP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Una temperatura de 100,4 °F </w:t>
      </w:r>
      <w:r w:rsidR="00117685">
        <w:rPr>
          <w:lang w:val="es-ES"/>
        </w:rPr>
        <w:br/>
      </w:r>
      <w:r w:rsidR="00117685">
        <w:rPr>
          <w:rStyle w:val="CharStyle13"/>
          <w:b w:val="0"/>
          <w:bCs w:val="0"/>
          <w:lang w:val="es-ES"/>
        </w:rPr>
        <w:t>o</w:t>
      </w:r>
      <w:r>
        <w:rPr>
          <w:lang w:val="es-ES"/>
        </w:rPr>
        <w:t xml:space="preserve"> </w:t>
      </w:r>
      <w:r w:rsidR="00FD72E5">
        <w:rPr>
          <w:lang w:val="es-ES"/>
        </w:rPr>
        <w:t xml:space="preserve"> S</w:t>
      </w:r>
      <w:r>
        <w:rPr>
          <w:lang w:val="es-ES"/>
        </w:rPr>
        <w:t xml:space="preserve">ensación de fiebre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Escalofríos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Tos repentina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Dificultad para respirar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Dolor de garganta repentino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Dolor muscular repentino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 xml:space="preserve">Dolor de cabeza repentino </w:t>
      </w:r>
      <w:r w:rsidR="00FD72E5">
        <w:rPr>
          <w:lang w:val="es-ES"/>
        </w:rPr>
        <w:br/>
      </w:r>
      <w:r>
        <w:rPr>
          <w:rStyle w:val="CharStyle13"/>
          <w:b w:val="0"/>
          <w:bCs w:val="0"/>
          <w:lang w:val="es-ES"/>
        </w:rPr>
        <w:t xml:space="preserve">o </w:t>
      </w:r>
      <w:r>
        <w:rPr>
          <w:lang w:val="es-ES"/>
        </w:rPr>
        <w:t>Pérdida repentina del gusto o el olfato</w:t>
      </w:r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88" w:lineRule="exact"/>
        <w:ind w:left="760" w:hanging="360"/>
      </w:pPr>
      <w:r>
        <w:rPr>
          <w:lang w:val="es-ES"/>
        </w:rPr>
        <w:t>En el siguiente enlace puede ver los signos y síntomas de la enfermedad provocada por el COVID-19</w:t>
      </w:r>
      <w:hyperlink r:id="rId11" w:history="1">
        <w:r>
          <w:rPr>
            <w:lang w:val="es-ES"/>
          </w:rPr>
          <w:t>:</w:t>
        </w:r>
      </w:hyperlink>
      <w:r>
        <w:rPr>
          <w:lang w:val="es-ES"/>
        </w:rPr>
        <w:t xml:space="preserve"> </w:t>
      </w:r>
      <w:hyperlink r:id="rId12" w:history="1">
        <w:r w:rsidRPr="00FD72E5">
          <w:rPr>
            <w:rStyle w:val="CharStyle10"/>
            <w:u w:val="single"/>
            <w:lang w:val="es-ES"/>
          </w:rPr>
          <w:t>https://www.health.state.mn.us/diseases/coronavirus/materials/isitcovid.pdf</w:t>
        </w:r>
      </w:hyperlink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88" w:lineRule="exact"/>
        <w:ind w:left="760" w:hanging="360"/>
      </w:pPr>
      <w:r>
        <w:rPr>
          <w:lang w:val="es-ES"/>
        </w:rPr>
        <w:t xml:space="preserve">Las solicitudes de adaptaciones para individuos de «alto riesgo» deberán ser revisadas y aprobadas por el gerente de apoyo y </w:t>
      </w: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>.</w:t>
      </w:r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88" w:lineRule="exact"/>
        <w:ind w:left="760" w:hanging="360"/>
      </w:pPr>
      <w:r>
        <w:rPr>
          <w:lang w:val="es-ES"/>
        </w:rPr>
        <w:t xml:space="preserve">Si un empleado contrajo COVID-19, se sospecha que lo ha contraído, o ha estado en contacto con alguien que ha dado positivo, se debe notificar de inmediato a la gerente de Recursos Humanos, Marie </w:t>
      </w:r>
      <w:proofErr w:type="spellStart"/>
      <w:r>
        <w:rPr>
          <w:lang w:val="es-ES"/>
        </w:rPr>
        <w:t>Rutz</w:t>
      </w:r>
      <w:proofErr w:type="spellEnd"/>
      <w:r>
        <w:rPr>
          <w:lang w:val="es-ES"/>
        </w:rPr>
        <w:t>, al (651) 365-3723 para cumplir con las directrices y requisitos de información del Departamento de Salud de Minnesota (MDH) y de los Centros para el Control y la Prevención de Enfermedades (CDC). Nuestros empleados están clasificados como trabajadores de «Nivel 1».</w:t>
      </w:r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88" w:lineRule="exact"/>
        <w:ind w:left="760" w:hanging="360"/>
      </w:pPr>
      <w:r>
        <w:rPr>
          <w:lang w:val="es-ES"/>
        </w:rPr>
        <w:t>Si un empleado que ha estado trabajando recientemente da positivo por COVID-19, se seguirán las recomendaciones, notificaciones e instrucciones del MDH sin revelar la identidad del individuo a aquellos que no están autorizados para recibir tal información.</w:t>
      </w:r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434" w:line="288" w:lineRule="exact"/>
        <w:ind w:left="760" w:hanging="360"/>
      </w:pPr>
      <w:r>
        <w:rPr>
          <w:lang w:val="es-ES"/>
        </w:rPr>
        <w:t>Se aconseja que los gerentes de apoyo tengan un plan para la dotación de personal de respaldo en caso de que un miembro del personal se enferme durante su turno.</w:t>
      </w:r>
    </w:p>
    <w:p w:rsidR="003576FF" w:rsidRDefault="00D72185" w:rsidP="000372DD">
      <w:pPr>
        <w:pStyle w:val="Style5"/>
        <w:framePr w:w="10114" w:h="14836" w:hRule="exact" w:wrap="none" w:vAnchor="page" w:hAnchor="page" w:x="1066" w:y="136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163"/>
      </w:pPr>
      <w:bookmarkStart w:id="6" w:name="bookmark6"/>
      <w:r>
        <w:rPr>
          <w:rStyle w:val="CharStyle7"/>
          <w:b/>
          <w:bCs/>
          <w:lang w:val="es-ES"/>
        </w:rPr>
        <w:t>Pruebas y políticas para los receptores de servicios con signos o síntomas de COVID-19</w:t>
      </w:r>
      <w:bookmarkEnd w:id="6"/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 w:hanging="360"/>
      </w:pPr>
      <w:r>
        <w:rPr>
          <w:lang w:val="es-ES"/>
        </w:rPr>
        <w:t>Supervise a los participantes para detectar signos de enfermedad, puede usar una herramienta para la evaluación de la salud como la siguiente</w:t>
      </w:r>
      <w:hyperlink r:id="rId13" w:history="1">
        <w:r>
          <w:rPr>
            <w:lang w:val="es-ES"/>
          </w:rPr>
          <w:t>:</w:t>
        </w:r>
      </w:hyperlink>
      <w:r>
        <w:rPr>
          <w:lang w:val="es-ES"/>
        </w:rPr>
        <w:t xml:space="preserve"> </w:t>
      </w:r>
      <w:hyperlink r:id="rId14" w:history="1">
        <w:r w:rsidRPr="00651ADE">
          <w:rPr>
            <w:rStyle w:val="CharStyle10"/>
            <w:u w:val="single"/>
            <w:lang w:val="es-ES"/>
          </w:rPr>
          <w:t>https://www.health.state.mn.us/diseases/coronavirus/facilityhlthscreen.pdf</w:t>
        </w:r>
        <w:r>
          <w:rPr>
            <w:lang w:val="es-ES"/>
          </w:rPr>
          <w:t>.</w:t>
        </w:r>
      </w:hyperlink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 w:hanging="360"/>
      </w:pPr>
      <w:r>
        <w:rPr>
          <w:lang w:val="es-ES"/>
        </w:rPr>
        <w:t>En el siguiente enlace puede ver los signos y síntomas de la enfermedad provocada por el COVID-19</w:t>
      </w:r>
      <w:hyperlink r:id="rId15" w:history="1">
        <w:r>
          <w:rPr>
            <w:lang w:val="es-ES"/>
          </w:rPr>
          <w:t>:</w:t>
        </w:r>
      </w:hyperlink>
      <w:r>
        <w:rPr>
          <w:lang w:val="es-ES"/>
        </w:rPr>
        <w:t xml:space="preserve"> </w:t>
      </w:r>
      <w:hyperlink r:id="rId16" w:history="1">
        <w:r w:rsidRPr="00651ADE">
          <w:rPr>
            <w:rStyle w:val="CharStyle10"/>
            <w:u w:val="single"/>
            <w:lang w:val="es-ES"/>
          </w:rPr>
          <w:t>https://www.health.state.mn.us/diseases/coronavirus/materials/isitcovid.pdf</w:t>
        </w:r>
      </w:hyperlink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 w:hanging="360"/>
      </w:pPr>
      <w:r>
        <w:rPr>
          <w:lang w:val="es-ES"/>
        </w:rPr>
        <w:t xml:space="preserve">Si un participante contrajo o se sospecha que contrajo COVID-19, el gerente de apoyo debe notificar de inmediato a la gerente de Recursos Humanos, Marie </w:t>
      </w:r>
      <w:proofErr w:type="spellStart"/>
      <w:r>
        <w:rPr>
          <w:lang w:val="es-ES"/>
        </w:rPr>
        <w:t>Rutz</w:t>
      </w:r>
      <w:proofErr w:type="spellEnd"/>
      <w:r>
        <w:rPr>
          <w:lang w:val="es-ES"/>
        </w:rPr>
        <w:t>, al (651) 365-3723 para cumplir con los requisitos de información del Departamento de Salud de Minnesota (MDH).</w:t>
      </w:r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438"/>
        <w:ind w:left="760" w:hanging="360"/>
      </w:pPr>
      <w:r>
        <w:rPr>
          <w:lang w:val="es-ES"/>
        </w:rPr>
        <w:t>Si hay empleados que trabajaron recientemente con un participante que dio positivo por COVID-19, se seguirán las recomendaciones, notificaciones e instrucciones del Departamento de Salud de Minnesota (MDH) sin revelar la identidad del individuo a aquellos que no están autorizados para recibir tal información.</w:t>
      </w:r>
    </w:p>
    <w:p w:rsidR="003576FF" w:rsidRDefault="00D72185" w:rsidP="000372DD">
      <w:pPr>
        <w:pStyle w:val="Style5"/>
        <w:framePr w:w="10114" w:h="14836" w:hRule="exact" w:wrap="none" w:vAnchor="page" w:hAnchor="page" w:x="1066" w:y="136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170"/>
      </w:pPr>
      <w:bookmarkStart w:id="7" w:name="bookmark7"/>
      <w:r>
        <w:rPr>
          <w:rStyle w:val="CharStyle7"/>
          <w:b/>
          <w:bCs/>
          <w:lang w:val="es-ES"/>
        </w:rPr>
        <w:t>Distanciamiento social durante la jornada</w:t>
      </w:r>
      <w:bookmarkEnd w:id="7"/>
    </w:p>
    <w:p w:rsidR="003576FF" w:rsidRDefault="00D72185" w:rsidP="000372DD">
      <w:pPr>
        <w:pStyle w:val="Style8"/>
        <w:framePr w:w="10114" w:h="14836" w:hRule="exact" w:wrap="none" w:vAnchor="page" w:hAnchor="page" w:x="1066" w:y="136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430" w:line="283" w:lineRule="exact"/>
        <w:ind w:left="760" w:hanging="360"/>
      </w:pPr>
      <w:r>
        <w:rPr>
          <w:lang w:val="es-ES"/>
        </w:rPr>
        <w:t>Aumente el espacio físico entre empleados y participantes siempre que sea posible. La recomendación del Departamento de Salud de Minnesota (MDH) y de los Centros para el Control y la Prevención de Enfermedades (CDC) es de 6 pies (1,82 m).</w:t>
      </w:r>
    </w:p>
    <w:p w:rsidR="003576FF" w:rsidRDefault="00D72185">
      <w:pPr>
        <w:pStyle w:val="Style14"/>
        <w:framePr w:wrap="none" w:vAnchor="page" w:hAnchor="page" w:x="1319" w:y="15086"/>
        <w:shd w:val="clear" w:color="auto" w:fill="auto"/>
      </w:pPr>
      <w:r>
        <w:rPr>
          <w:lang w:val="es-ES"/>
        </w:rPr>
        <w:t xml:space="preserve">Plan preventivo frente al COVID-19 para empleados del área fiscal de </w:t>
      </w: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Services</w:t>
      </w:r>
      <w:proofErr w:type="spellEnd"/>
      <w:r>
        <w:rPr>
          <w:lang w:val="es-ES"/>
        </w:rPr>
        <w:t>. Actualizado: 08/2020</w:t>
      </w:r>
    </w:p>
    <w:p w:rsidR="003576FF" w:rsidRDefault="00D72185">
      <w:pPr>
        <w:pStyle w:val="Style14"/>
        <w:framePr w:wrap="none" w:vAnchor="page" w:hAnchor="page" w:x="11039" w:y="14994"/>
        <w:shd w:val="clear" w:color="auto" w:fill="auto"/>
      </w:pPr>
      <w:r>
        <w:rPr>
          <w:lang w:val="es-ES"/>
        </w:rPr>
        <w:t>2</w:t>
      </w:r>
    </w:p>
    <w:p w:rsidR="003576FF" w:rsidRDefault="003576FF">
      <w:pPr>
        <w:rPr>
          <w:sz w:val="2"/>
          <w:szCs w:val="2"/>
        </w:rPr>
        <w:sectPr w:rsidR="003576F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DD" w:rsidRDefault="000372DD" w:rsidP="00866BFB">
      <w:pPr>
        <w:pStyle w:val="Style5"/>
        <w:framePr w:w="10114" w:h="6076" w:hRule="exact" w:wrap="none" w:vAnchor="page" w:hAnchor="page" w:x="1051" w:y="1489"/>
        <w:shd w:val="clear" w:color="auto" w:fill="auto"/>
        <w:tabs>
          <w:tab w:val="left" w:pos="397"/>
        </w:tabs>
        <w:spacing w:before="0" w:after="218"/>
      </w:pPr>
      <w:bookmarkStart w:id="8" w:name="bookmark8"/>
      <w:r>
        <w:rPr>
          <w:rStyle w:val="CharStyle7"/>
          <w:b/>
          <w:bCs/>
          <w:lang w:val="es-ES"/>
        </w:rPr>
        <w:lastRenderedPageBreak/>
        <w:t>7.</w:t>
      </w:r>
      <w:r>
        <w:rPr>
          <w:rStyle w:val="CharStyle7"/>
          <w:b/>
          <w:bCs/>
          <w:lang w:val="es-ES"/>
        </w:rPr>
        <w:tab/>
      </w:r>
      <w:r>
        <w:rPr>
          <w:rStyle w:val="CharStyle7"/>
          <w:b/>
          <w:bCs/>
          <w:lang w:val="es-ES"/>
        </w:rPr>
        <w:t>Preparación de alimentos y comidas</w:t>
      </w:r>
      <w:bookmarkEnd w:id="8"/>
    </w:p>
    <w:p w:rsidR="000372DD" w:rsidRDefault="000372DD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24" w:lineRule="exact"/>
        <w:ind w:left="760" w:hanging="360"/>
      </w:pPr>
      <w:r w:rsidRPr="000372DD">
        <w:rPr>
          <w:lang w:val="es-ES"/>
        </w:rPr>
        <w:t>Lávese las manos antes de preparar, servir o ingerir alimentos.</w:t>
      </w:r>
    </w:p>
    <w:p w:rsidR="003576FF" w:rsidRDefault="00D72185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spacing w:before="0" w:after="430" w:line="283" w:lineRule="exact"/>
        <w:ind w:left="720" w:right="920" w:hanging="360"/>
      </w:pPr>
      <w:r>
        <w:rPr>
          <w:lang w:val="es-ES"/>
        </w:rPr>
        <w:t>Si se sirven comidas para varias personas, debe servir todos los platos de una vez para evitar que muchas personas usen los mismos utensilios.</w:t>
      </w:r>
    </w:p>
    <w:p w:rsidR="003576FF" w:rsidRDefault="00D72185" w:rsidP="00866BFB">
      <w:pPr>
        <w:pStyle w:val="Style5"/>
        <w:framePr w:w="10114" w:h="6076" w:hRule="exact" w:wrap="none" w:vAnchor="page" w:hAnchor="page" w:x="1051" w:y="1489"/>
        <w:numPr>
          <w:ilvl w:val="0"/>
          <w:numId w:val="3"/>
        </w:numPr>
        <w:shd w:val="clear" w:color="auto" w:fill="auto"/>
        <w:tabs>
          <w:tab w:val="left" w:pos="871"/>
        </w:tabs>
        <w:spacing w:before="0" w:after="170"/>
        <w:ind w:left="360"/>
      </w:pPr>
      <w:bookmarkStart w:id="9" w:name="bookmark9"/>
      <w:r>
        <w:rPr>
          <w:rStyle w:val="CharStyle7"/>
          <w:b/>
          <w:bCs/>
          <w:lang w:val="es-ES"/>
        </w:rPr>
        <w:t>Ventilación</w:t>
      </w:r>
      <w:bookmarkEnd w:id="9"/>
    </w:p>
    <w:p w:rsidR="003576FF" w:rsidRDefault="00D72185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spacing w:before="0" w:after="430" w:line="283" w:lineRule="exact"/>
        <w:ind w:left="720" w:hanging="360"/>
      </w:pPr>
      <w:r>
        <w:rPr>
          <w:lang w:val="es-ES"/>
        </w:rPr>
        <w:t>Procure maximizar el ingreso de aire fresco, limite la recirculación del aire y asegúrese de que los sistemas de ventilación se usen y se mantengan adecuadamente.</w:t>
      </w:r>
      <w:bookmarkStart w:id="10" w:name="_GoBack"/>
      <w:bookmarkEnd w:id="10"/>
    </w:p>
    <w:p w:rsidR="003576FF" w:rsidRDefault="00D72185" w:rsidP="00866BFB">
      <w:pPr>
        <w:pStyle w:val="Style5"/>
        <w:framePr w:w="10114" w:h="6076" w:hRule="exact" w:wrap="none" w:vAnchor="page" w:hAnchor="page" w:x="1051" w:y="1489"/>
        <w:numPr>
          <w:ilvl w:val="0"/>
          <w:numId w:val="3"/>
        </w:numPr>
        <w:shd w:val="clear" w:color="auto" w:fill="auto"/>
        <w:tabs>
          <w:tab w:val="left" w:pos="881"/>
        </w:tabs>
        <w:spacing w:before="0" w:after="159"/>
        <w:ind w:left="360"/>
      </w:pPr>
      <w:bookmarkStart w:id="11" w:name="bookmark10"/>
      <w:r>
        <w:rPr>
          <w:rStyle w:val="CharStyle7"/>
          <w:b/>
          <w:bCs/>
          <w:lang w:val="es-ES"/>
        </w:rPr>
        <w:t>Comunicaciones y capacitación</w:t>
      </w:r>
      <w:bookmarkEnd w:id="11"/>
    </w:p>
    <w:p w:rsidR="003576FF" w:rsidRDefault="00D72185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98" w:lineRule="exact"/>
        <w:ind w:left="720" w:hanging="360"/>
      </w:pPr>
      <w:r>
        <w:rPr>
          <w:lang w:val="es-ES"/>
        </w:rPr>
        <w:t>Los empleados recibirán una copia del Plan Preventivo.</w:t>
      </w:r>
    </w:p>
    <w:p w:rsidR="003576FF" w:rsidRDefault="00D72185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98" w:lineRule="exact"/>
        <w:ind w:left="720" w:right="620" w:hanging="360"/>
      </w:pPr>
      <w:r>
        <w:rPr>
          <w:lang w:val="es-ES"/>
        </w:rPr>
        <w:t xml:space="preserve">Este plan se publicará en el sitio web externo de </w:t>
      </w: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 xml:space="preserve"> para que pueda ser consultado por empleados, gerentes de apoyo y participantes.</w:t>
      </w:r>
    </w:p>
    <w:p w:rsidR="003576FF" w:rsidRDefault="00D72185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98" w:lineRule="exact"/>
        <w:ind w:left="720" w:right="620" w:hanging="360"/>
      </w:pP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 xml:space="preserve"> proporcionará este plan a aquellos participantes que lo soliciten y, si corresponde, a sus padres, tutores legales o trabajadores sociales encargados, según se solicite.</w:t>
      </w:r>
    </w:p>
    <w:p w:rsidR="003576FF" w:rsidRDefault="00D72185" w:rsidP="00866BFB">
      <w:pPr>
        <w:pStyle w:val="Style8"/>
        <w:framePr w:w="10114" w:h="6076" w:hRule="exact" w:wrap="none" w:vAnchor="page" w:hAnchor="page" w:x="1051" w:y="1489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98" w:lineRule="exact"/>
        <w:ind w:left="720" w:hanging="360"/>
      </w:pPr>
      <w:r>
        <w:rPr>
          <w:lang w:val="es-ES"/>
        </w:rPr>
        <w:t>Se utilizará un sistema de gestión de aprendizaje (LMS, por sus siglas en inglés) para capacitar a los empleados que lo requieran.</w:t>
      </w:r>
    </w:p>
    <w:p w:rsidR="003576FF" w:rsidRDefault="00D72185" w:rsidP="00866BFB">
      <w:pPr>
        <w:pStyle w:val="Style8"/>
        <w:framePr w:w="10114" w:h="634" w:hRule="exact" w:wrap="none" w:vAnchor="page" w:hAnchor="page" w:x="1186" w:y="7831"/>
        <w:shd w:val="clear" w:color="auto" w:fill="auto"/>
        <w:spacing w:before="0" w:line="288" w:lineRule="exact"/>
        <w:ind w:left="400" w:right="920" w:firstLine="0"/>
      </w:pPr>
      <w:r>
        <w:rPr>
          <w:lang w:val="es-ES"/>
        </w:rPr>
        <w:t xml:space="preserve">Este plan preventivo fue certificado por la gerencia de </w:t>
      </w: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Services</w:t>
      </w:r>
      <w:proofErr w:type="spellEnd"/>
      <w:r>
        <w:rPr>
          <w:lang w:val="es-ES"/>
        </w:rPr>
        <w:t>. Será actualizado según sea necesario.</w:t>
      </w:r>
    </w:p>
    <w:p w:rsidR="003576FF" w:rsidRDefault="00D72185">
      <w:pPr>
        <w:pStyle w:val="Style14"/>
        <w:framePr w:wrap="none" w:vAnchor="page" w:hAnchor="page" w:x="1319" w:y="15086"/>
        <w:shd w:val="clear" w:color="auto" w:fill="auto"/>
      </w:pPr>
      <w:r>
        <w:rPr>
          <w:lang w:val="es-ES"/>
        </w:rPr>
        <w:t xml:space="preserve">Plan preventivo frente al COVID-19 para empleados del área fiscal de </w:t>
      </w:r>
      <w:proofErr w:type="spellStart"/>
      <w:r>
        <w:rPr>
          <w:lang w:val="es-ES"/>
        </w:rPr>
        <w:t>Lifeworks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Services</w:t>
      </w:r>
      <w:proofErr w:type="spellEnd"/>
      <w:r>
        <w:rPr>
          <w:lang w:val="es-ES"/>
        </w:rPr>
        <w:t>. Actualizado: 08/2020</w:t>
      </w:r>
    </w:p>
    <w:p w:rsidR="003576FF" w:rsidRDefault="00D72185">
      <w:pPr>
        <w:pStyle w:val="Style14"/>
        <w:framePr w:wrap="none" w:vAnchor="page" w:hAnchor="page" w:x="11035" w:y="14994"/>
        <w:shd w:val="clear" w:color="auto" w:fill="auto"/>
      </w:pPr>
      <w:r>
        <w:rPr>
          <w:lang w:val="es-ES"/>
        </w:rPr>
        <w:t>3</w:t>
      </w:r>
    </w:p>
    <w:p w:rsidR="003576FF" w:rsidRDefault="003576FF">
      <w:pPr>
        <w:rPr>
          <w:sz w:val="2"/>
          <w:szCs w:val="2"/>
        </w:rPr>
      </w:pPr>
    </w:p>
    <w:sectPr w:rsidR="003576F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1225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7751CDCC"/>
    <w:multiLevelType w:val="multilevel"/>
    <w:tmpl w:val="000000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3864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7EA254E3"/>
    <w:multiLevelType w:val="hybridMultilevel"/>
    <w:tmpl w:val="B73CE8A6"/>
    <w:lvl w:ilvl="0" w:tplc="2A902638">
      <w:start w:val="8"/>
      <w:numFmt w:val="decimal"/>
      <w:lvlText w:val="%1."/>
      <w:lvlJc w:val="left"/>
      <w:pPr>
        <w:ind w:left="720" w:hanging="360"/>
      </w:pPr>
      <w:rPr>
        <w:rFonts w:hint="default"/>
        <w:color w:val="00386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</w:compat>
  <w:rsids>
    <w:rsidRoot w:val="003576FF"/>
    <w:rsid w:val="000372DD"/>
    <w:rsid w:val="00117685"/>
    <w:rsid w:val="003576FF"/>
    <w:rsid w:val="00651ADE"/>
    <w:rsid w:val="00866BFB"/>
    <w:rsid w:val="009B7ECC"/>
    <w:rsid w:val="00A8776E"/>
    <w:rsid w:val="00D72185"/>
    <w:rsid w:val="00DA7759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8831"/>
  <w15:docId w15:val="{EEB89D44-66F5-4C56-9452-94BCA788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3864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386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464C1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464C1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harStyle13">
    <w:name w:val="Char Style 13"/>
    <w:basedOn w:val="CharStyle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shd w:val="clear" w:color="auto" w:fill="FFFFFF"/>
      <w:spacing w:after="18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5">
    <w:name w:val="Style 5"/>
    <w:basedOn w:val="Normal"/>
    <w:link w:val="CharStyle6"/>
    <w:pPr>
      <w:shd w:val="clear" w:color="auto" w:fill="FFFFFF"/>
      <w:spacing w:before="400" w:after="18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al"/>
    <w:link w:val="CharStyle9"/>
    <w:pPr>
      <w:shd w:val="clear" w:color="auto" w:fill="FFFFFF"/>
      <w:spacing w:before="180" w:line="293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al"/>
    <w:link w:val="CharStyle1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mn.us/archive/execorders/20-81.pdf" TargetMode="External"/><Relationship Id="rId13" Type="http://schemas.openxmlformats.org/officeDocument/2006/relationships/hyperlink" Target="https://www.health.state.mn.us/diseases/coronavirus/facilityhlthscree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state.mn.us/people/handhygiene/how/howto.pdf" TargetMode="External"/><Relationship Id="rId12" Type="http://schemas.openxmlformats.org/officeDocument/2006/relationships/hyperlink" Target="https://www.health.state.mn.us/diseases/coronavirus/materials/isitcovi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ealth.state.mn.us/diseases/coronavirus/materials/isitcovi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alth.state.mn.us/people/handhygiene/how/howto.pdf" TargetMode="External"/><Relationship Id="rId11" Type="http://schemas.openxmlformats.org/officeDocument/2006/relationships/hyperlink" Target="https://www.health.state.mn.us/diseases/coronavirus/materials/isitcovid.pdf" TargetMode="External"/><Relationship Id="rId5" Type="http://schemas.openxmlformats.org/officeDocument/2006/relationships/hyperlink" Target="https://www.health.state.mn.us/people/cyc/cycbgeneng.pdf" TargetMode="External"/><Relationship Id="rId15" Type="http://schemas.openxmlformats.org/officeDocument/2006/relationships/hyperlink" Target="https://www.health.state.mn.us/diseases/coronavirus/materials/isitcovid.pdf" TargetMode="External"/><Relationship Id="rId10" Type="http://schemas.openxmlformats.org/officeDocument/2006/relationships/hyperlink" Target="https://www.cdc.gov/coronavirus/2019-ncov/community/disinfecting-building-facil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state.mn.us/diseases/coronavirus/facecoverfaq.html" TargetMode="External"/><Relationship Id="rId14" Type="http://schemas.openxmlformats.org/officeDocument/2006/relationships/hyperlink" Target="https://www.health.state.mn.us/diseases/coronavirus/facilityhlthscre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Kostohryz</dc:creator>
  <cp:lastModifiedBy>Nikki A. Grosz</cp:lastModifiedBy>
  <cp:revision>10</cp:revision>
  <dcterms:created xsi:type="dcterms:W3CDTF">2020-08-21T14:37:00Z</dcterms:created>
  <dcterms:modified xsi:type="dcterms:W3CDTF">2020-09-11T18:55:00Z</dcterms:modified>
</cp:coreProperties>
</file>